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Sexual Violence from a Labeling Theory Perspective</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Justin Williams</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CCJS 105</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4/20/2021</w:t>
      </w:r>
    </w:p>
    <w:p>
      <w:pPr>
        <w:spacing w:before="0" w:after="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Sexual Violence from a Labeling Theory Perspective</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government has employed various strategies to deal with sexual violence offenses in the United States. These measures include arrest and prosecution and sex offender registry. While arresting, prosecuting, and even punishing sexual offenders through incarceration can be a good way to approach such a problem, it is also a risk factor in extending crimes in society. From a labeling theoretical perspective, this paper argues that people who are given a label or branded names, either as an offender, eventually give in and subscribe to the label, which further increases the risks of creating more sexual violence incidences.</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Labeling theory, as a biological theoretical approach seeking to understand and explain the root cause of crime, is based on the assumption that once someone is a criminal, they will always be criminals (Matsueda, 2014; Ciaravolo, 2011). Labeling theory asserts that applying a label, whether it means informally or formally designated, has long-term effects on the victims branded the names (Matsueda, 2014; Khan et al., 2018)). This damage is even dangerous to young people, youths, and teenagers who are still experiencing cognitive development. Historically, labeling theory-related policies were applied in the 1970s.  They were, however, considered ineffective which resulted in their removal and replaced by tougher measures to help curb crime. With the high numbers of sexual violence cases reported and even some go unreported, it is clear that even the tougher measures are not effective.</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labeling theory provides a unique perspective to understand the root cause of sexual violence crimes. According to Ciaravolo (2011), labeling theory promotes the understanding that labeling people, especially children with negative names or phrases with bad connotations can have a significant impact on the lives of these children. For example, calling a child a “bad kid” or “troublemaker” as some parents or even members of society often do can have significant and negative consequences including pushing them to commit a crime.  Labeling theory tries to understand why some people act in the way they are labeled (deviant) while others do not. This theory proposes that social group reactions can serve to make some behaviors deviant.</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Furthermore, labeling theory also promotes the understanding that the underlying power structures within the given social order influence the labeling. Understanding this relationship is critical because it helps understand how the powerful members of the society impose the labels upon the less powerful members, which results in the above-explained consequences (Kelley &amp; Gidycz, 2015). The label is determined by different factors including the affluent and upward mobility. However, labeling begins at the local or community level where those with greater social power would impose a label on those with less power. A good example is a sample highlighted in the previous paragraph where a parent or a member of the community may brand a child as a “bad kid.” This name bears a negative connotation and according to the labeling theorists, it could result in the child embracing the bad side that people have been telling him or her.</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government measures created to curb sexual violence offenses in the United States like the sexual offender registry are also attributed to increasing sexual offenses or reoffending. The sex offender registry that currently contains almost half a million U.S. citizens is having a serious long-term effect on the people registered (Schultz, 2014). The number of sex offenders in the register continues to increase as the number of incarcerated individuals grows. The concern is on the number of sexual offenders increasing with the public’s concern showing that there is a lot that still needs to be done. The enactment of tougher measures such as the sexual offender registry was aimed at curbing the crime. However, labeling theorists disagree that this was a good move as more people continue to be arrested and incarcerated for sexual offenses. As Schultz (2014) explains, these measures came about as a result of the increasing media and public concern on sexual offenses. Some of the cases that involved sexual violence such as Jaycee Dugard, Polly Klaas, and Elizabeth Smart whose pictures were painted in the public’s mind through the media. As a result, policymakers sought to create tougher legislation including the Megan’s Law that resulted from the death of Megan Kanka. The death of Megan created a national debate on whether children were safe from sexual predators (Schultz, 2014). As a result, the government sought to respond by tougher measures. A labeling sex offender initiative was created where sex offenders were required to register their information with their local law enforcement organizations (Schultz, 2014).</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this move has tried to minimize sexual offenses in the United States, it has also created a new wave of problems and risk of reoffending that the policymakers may not have intended, but will have a long-lasting impact on the American society. Research shows that 25% of women experience sexual violence in their life compared to 16% of men (Schultz, 2014). About two-thirds of those who experience sexual assault in their lives are children below the age of 18 years (Schultz, 2014). This informs the move by the government to create tougher measures to control the problem. The only problem is whether these measures have worked.</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has shown that labeling people with phrases with negative connotations may have long-term impacts on the individuals, which consequently translates to the problem for the entire society. According to Ciaravolo (2011), formal labeling has been shown to have a measurable consequence on the person’s future education and employment opportunities. Someone who has been branded or labeled as a sex offender and registered with the local government will have to deal with the effects later after they have come out of prison (for adults) as they cannot be employed anywhere. For juveniles, it is even more devastating as their education and employment opportunities can be affected. All this, from a labeling theory perspective, can push the individual to re-offend.</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of the policies that are inspired by labeling theory have tried to reduce the impacts of such labeling or branding as well as providing opportunities for the offenders to grow. These policies include ban-the-box policies which prohibit employers from asking applicants about their criminal backgrounds. This policy, as evidence shows, reduces recidivism among offenders because they don’t have to be reminded about the stigma that they have gone through or even expose them to further stigmatization (Kelley &amp; Gidycz, 2015). Other measures include Wisconsin’s Inviting Convicts to College programs that seek to help offenders and past offenders, especially juveniles pursue their careers in spite of the criminal record.</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the sexual offense is a serious crime and need to punished just like the other crimes, but the punishment strategy should be effective and reflect the need of the society. It will not make sense to have a law that ends up creating more offenders or destroying more lives than it tries to save. This essay has highlighted the root cause of sexual violence from a labeling theory perspective. Policymakers should adopt a holistic approach when designing policies, especially sexual violence crimes. Policies inspired by labeling theory may not be effective on their own, but a holistic approach would guarantee that the best and effective concepts from this theory can be applied in policymaking to deal with sexual offenses.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720" w:hanging="720"/>
        <w:jc w:val="left"/>
        <w:rPr>
          <w:rFonts w:ascii="Times New Roman" w:hAnsi="Times New Roman" w:cs="Times New Roman" w:eastAsia="Times New Roman"/>
          <w:color w:val="auto"/>
          <w:spacing w:val="0"/>
          <w:position w:val="0"/>
          <w:sz w:val="24"/>
          <w:shd w:fill="auto" w:val="clear"/>
        </w:rPr>
      </w:pPr>
    </w:p>
    <w:p>
      <w:pPr>
        <w:spacing w:before="0" w:after="0" w:line="480"/>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References</w:t>
      </w:r>
    </w:p>
    <w:p>
      <w:pPr>
        <w:spacing w:before="0" w:after="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Ciaravolo, E. B. (2011). Once a Criminal, Always a Criminal: How Do Individual Responses to Formal Labeling Affect Future Behavior? A Comprehensive Evaluation of Labeling Theory.</w:t>
      </w:r>
    </w:p>
    <w:p>
      <w:pPr>
        <w:spacing w:before="0" w:after="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Kelley, E. L., &amp; Gidycz, C. A. (2015). Labeling of sexual assault and its relationship with sexual functioning: The mediating role of coping. </w:t>
      </w:r>
      <w:r>
        <w:rPr>
          <w:rFonts w:ascii="Times New Roman" w:hAnsi="Times New Roman" w:cs="Times New Roman" w:eastAsia="Times New Roman"/>
          <w:i/>
          <w:color w:val="222222"/>
          <w:spacing w:val="0"/>
          <w:position w:val="0"/>
          <w:sz w:val="24"/>
          <w:shd w:fill="FFFFFF" w:val="clear"/>
        </w:rPr>
        <w:t xml:space="preserve">Journal of interpersonal violence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30</w:t>
      </w:r>
      <w:r>
        <w:rPr>
          <w:rFonts w:ascii="Times New Roman" w:hAnsi="Times New Roman" w:cs="Times New Roman" w:eastAsia="Times New Roman"/>
          <w:color w:val="222222"/>
          <w:spacing w:val="0"/>
          <w:position w:val="0"/>
          <w:sz w:val="24"/>
          <w:shd w:fill="FFFFFF" w:val="clear"/>
        </w:rPr>
        <w:t xml:space="preserve">(2), 348-366.</w:t>
      </w:r>
    </w:p>
    <w:p>
      <w:pPr>
        <w:spacing w:before="0" w:after="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Khan, S. R., Hirsch, J. S., Wambold, A., &amp; Mellins, C. A. (2018). 'I Didn't Want To Be'That Girl'': The Social Risks of Labeling, Telling, and Reporting Sexual Assault. </w:t>
      </w:r>
      <w:r>
        <w:rPr>
          <w:rFonts w:ascii="Times New Roman" w:hAnsi="Times New Roman" w:cs="Times New Roman" w:eastAsia="Times New Roman"/>
          <w:i/>
          <w:color w:val="222222"/>
          <w:spacing w:val="0"/>
          <w:position w:val="0"/>
          <w:sz w:val="24"/>
          <w:shd w:fill="FFFFFF" w:val="clear"/>
        </w:rPr>
        <w:t xml:space="preserve">Sociological 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5</w:t>
      </w:r>
      <w:r>
        <w:rPr>
          <w:rFonts w:ascii="Times New Roman" w:hAnsi="Times New Roman" w:cs="Times New Roman" w:eastAsia="Times New Roman"/>
          <w:color w:val="222222"/>
          <w:spacing w:val="0"/>
          <w:position w:val="0"/>
          <w:sz w:val="24"/>
          <w:shd w:fill="FFFFFF" w:val="clear"/>
        </w:rPr>
        <w:t xml:space="preserve">, 432-460.</w:t>
      </w:r>
    </w:p>
    <w:p>
      <w:pPr>
        <w:spacing w:before="0" w:after="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Matsueda, R. L. (2014). The natural history of labeling theory. </w:t>
      </w:r>
      <w:r>
        <w:rPr>
          <w:rFonts w:ascii="Times New Roman" w:hAnsi="Times New Roman" w:cs="Times New Roman" w:eastAsia="Times New Roman"/>
          <w:i/>
          <w:color w:val="222222"/>
          <w:spacing w:val="0"/>
          <w:position w:val="0"/>
          <w:sz w:val="24"/>
          <w:shd w:fill="FFFFFF" w:val="clear"/>
        </w:rPr>
        <w:t xml:space="preserve">Labeling theory: Empirical tests</w:t>
      </w:r>
      <w:r>
        <w:rPr>
          <w:rFonts w:ascii="Times New Roman" w:hAnsi="Times New Roman" w:cs="Times New Roman" w:eastAsia="Times New Roman"/>
          <w:color w:val="222222"/>
          <w:spacing w:val="0"/>
          <w:position w:val="0"/>
          <w:sz w:val="24"/>
          <w:shd w:fill="FFFFFF" w:val="clear"/>
        </w:rPr>
        <w:t xml:space="preserve">, 13-44.</w:t>
      </w:r>
    </w:p>
    <w:p>
      <w:pPr>
        <w:spacing w:before="0" w:after="0" w:line="48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Schultz, C. (2014). The stigmatization of individuals convicted of sex offenses: Labeling theory and the sex offense registry. </w:t>
      </w:r>
      <w:r>
        <w:rPr>
          <w:rFonts w:ascii="Times New Roman" w:hAnsi="Times New Roman" w:cs="Times New Roman" w:eastAsia="Times New Roman"/>
          <w:i/>
          <w:color w:val="222222"/>
          <w:spacing w:val="0"/>
          <w:position w:val="0"/>
          <w:sz w:val="24"/>
          <w:shd w:fill="FFFFFF" w:val="clear"/>
        </w:rPr>
        <w:t xml:space="preserve">Themis: Research Journal of Justice Studies and Forensic 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w:t>
      </w:r>
      <w:r>
        <w:rPr>
          <w:rFonts w:ascii="Times New Roman" w:hAnsi="Times New Roman" w:cs="Times New Roman" w:eastAsia="Times New Roman"/>
          <w:color w:val="222222"/>
          <w:spacing w:val="0"/>
          <w:position w:val="0"/>
          <w:sz w:val="24"/>
          <w:shd w:fill="FFFFFF" w:val="clear"/>
        </w:rPr>
        <w:t xml:space="preserve">(1), 4.</w:t>
      </w:r>
    </w:p>
    <w:p>
      <w:pPr>
        <w:spacing w:before="0" w:after="0" w:line="480"/>
        <w:ind w:right="0" w:left="720" w:hanging="72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